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12ACBD38" w:rsidR="000A03DE" w:rsidRPr="000A03DE" w:rsidRDefault="004218A3" w:rsidP="000A03DE">
      <w:pPr>
        <w:pStyle w:val="Title"/>
      </w:pPr>
      <w:r w:rsidRPr="00CC47CF">
        <w:rPr>
          <w:lang w:val="en-CA"/>
        </w:rPr>
        <w:t xml:space="preserve">3GPP TSG-RAN </w:t>
      </w:r>
      <w:r>
        <w:rPr>
          <w:lang w:val="en-CA"/>
        </w:rPr>
        <w:t>WG2 #10</w:t>
      </w:r>
      <w:r w:rsidR="00E25AD6">
        <w:rPr>
          <w:lang w:val="en-CA"/>
        </w:rPr>
        <w:t>8</w:t>
      </w:r>
      <w:r w:rsidR="000A03DE" w:rsidRPr="000A03DE">
        <w:tab/>
      </w:r>
      <w:r w:rsidR="000A03DE" w:rsidRPr="008B2A65">
        <w:t>R2-1</w:t>
      </w:r>
      <w:r w:rsidR="00246374" w:rsidRPr="008B2A65">
        <w:t>9</w:t>
      </w:r>
      <w:r w:rsidR="00E25AD6">
        <w:t>1</w:t>
      </w:r>
      <w:r w:rsidR="000438D0">
        <w:t>5409</w:t>
      </w:r>
    </w:p>
    <w:p w14:paraId="2EFFCF08" w14:textId="1CD24470" w:rsidR="00463675" w:rsidRPr="000A03DE" w:rsidRDefault="00E25AD6" w:rsidP="000A03DE">
      <w:pPr>
        <w:pStyle w:val="Title"/>
      </w:pPr>
      <w:r w:rsidRPr="00E25AD6">
        <w:rPr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65A0FA79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75336C">
        <w:rPr>
          <w:rFonts w:ascii="Arial" w:hAnsi="Arial" w:cs="Arial"/>
          <w:b/>
          <w:highlight w:val="yellow"/>
        </w:rPr>
        <w:t>[Draft]</w:t>
      </w:r>
      <w:r w:rsidR="0035772E" w:rsidRPr="0035772E">
        <w:rPr>
          <w:rFonts w:ascii="Arial" w:hAnsi="Arial" w:cs="Arial"/>
          <w:b/>
        </w:rPr>
        <w:t xml:space="preserve"> LS</w:t>
      </w:r>
      <w:r w:rsidR="0035772E">
        <w:rPr>
          <w:rFonts w:ascii="Arial" w:hAnsi="Arial" w:cs="Arial"/>
          <w:b/>
        </w:rPr>
        <w:t xml:space="preserve"> </w:t>
      </w:r>
      <w:r w:rsidR="00B7055D">
        <w:rPr>
          <w:rFonts w:ascii="Arial" w:hAnsi="Arial" w:cs="Arial"/>
          <w:b/>
        </w:rPr>
        <w:t>reply</w:t>
      </w:r>
      <w:r w:rsidR="007C6224">
        <w:rPr>
          <w:rFonts w:ascii="Arial" w:hAnsi="Arial" w:cs="Arial"/>
          <w:b/>
        </w:rPr>
        <w:t xml:space="preserve"> </w:t>
      </w:r>
      <w:r w:rsidR="0035772E">
        <w:rPr>
          <w:rFonts w:ascii="Arial" w:hAnsi="Arial" w:cs="Arial"/>
          <w:b/>
        </w:rPr>
        <w:t xml:space="preserve">on </w:t>
      </w:r>
      <w:r w:rsidR="006D5BEC">
        <w:rPr>
          <w:rFonts w:ascii="Arial" w:hAnsi="Arial" w:cs="Arial"/>
          <w:b/>
        </w:rPr>
        <w:t>PUR transmission for NB-IoT/</w:t>
      </w:r>
      <w:proofErr w:type="spellStart"/>
      <w:r w:rsidR="006D5BEC">
        <w:rPr>
          <w:rFonts w:ascii="Arial" w:hAnsi="Arial" w:cs="Arial"/>
          <w:b/>
        </w:rPr>
        <w:t>eMTC</w:t>
      </w:r>
      <w:proofErr w:type="spellEnd"/>
    </w:p>
    <w:p w14:paraId="1F1E184B" w14:textId="1BEFB66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R2-1914304/</w:t>
      </w:r>
      <w:r w:rsidR="00891A66" w:rsidRPr="00891A66">
        <w:rPr>
          <w:rFonts w:ascii="Arial" w:hAnsi="Arial" w:cs="Arial"/>
          <w:bCs/>
        </w:rPr>
        <w:t>R1-1911399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095B6F4B" w14:textId="6BB5E8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RAN4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6C31A586" w14:textId="22D0C163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r w:rsidR="0035772E" w:rsidRPr="00B7549D">
        <w:rPr>
          <w:rFonts w:cs="Arial"/>
          <w:b w:val="0"/>
          <w:bCs/>
          <w:color w:val="auto"/>
          <w:lang w:eastAsia="ja-JP"/>
        </w:rPr>
        <w:t>Tuomas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35772E" w:rsidRPr="00B7549D">
        <w:rPr>
          <w:rFonts w:cs="Arial"/>
          <w:b w:val="0"/>
          <w:bCs/>
          <w:color w:val="auto"/>
          <w:lang w:eastAsia="ja-JP"/>
        </w:rPr>
        <w:t>Tirronen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com</w:t>
      </w:r>
    </w:p>
    <w:p w14:paraId="47A8098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835A7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3149F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EF42F4" w14:textId="2270BF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4CC7">
        <w:rPr>
          <w:rFonts w:ascii="Arial" w:hAnsi="Arial" w:cs="Arial"/>
          <w:bCs/>
        </w:rPr>
        <w:t>none</w:t>
      </w: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83F8F1" w14:textId="005FE266" w:rsidR="0092088B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RAN1 for their LS on </w:t>
      </w:r>
      <w:r w:rsidR="009E1D2C" w:rsidRPr="009E1D2C">
        <w:rPr>
          <w:rFonts w:ascii="Arial" w:hAnsi="Arial" w:cs="Arial"/>
        </w:rPr>
        <w:t xml:space="preserve">PUR </w:t>
      </w:r>
      <w:r w:rsidR="003B7C48">
        <w:rPr>
          <w:rFonts w:ascii="Arial" w:hAnsi="Arial" w:cs="Arial"/>
        </w:rPr>
        <w:t>L1 ACK for application layer response</w:t>
      </w:r>
      <w:r w:rsidR="009E1D2C" w:rsidRPr="009E1D2C">
        <w:rPr>
          <w:rFonts w:ascii="Arial" w:hAnsi="Arial" w:cs="Arial"/>
        </w:rPr>
        <w:t xml:space="preserve"> for NB-IoT and LTE-M</w:t>
      </w:r>
      <w:r w:rsidR="003B7C48">
        <w:rPr>
          <w:rFonts w:ascii="Arial" w:hAnsi="Arial" w:cs="Arial"/>
        </w:rPr>
        <w:t>:</w:t>
      </w:r>
      <w:r w:rsidR="009E1D2C">
        <w:rPr>
          <w:rFonts w:ascii="Arial" w:hAnsi="Arial" w:cs="Arial"/>
        </w:rPr>
        <w:t xml:space="preserve"> </w:t>
      </w:r>
    </w:p>
    <w:p w14:paraId="3774587F" w14:textId="0573D975" w:rsidR="003B7C48" w:rsidRDefault="003B7C48" w:rsidP="00A515B5">
      <w:pPr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7C48" w14:paraId="3A485A8B" w14:textId="77777777" w:rsidTr="003B7C48">
        <w:tc>
          <w:tcPr>
            <w:tcW w:w="9855" w:type="dxa"/>
          </w:tcPr>
          <w:p w14:paraId="75BD81DD" w14:textId="77777777" w:rsidR="003B7C48" w:rsidRPr="001F5B26" w:rsidRDefault="003B7C48" w:rsidP="003B7C48">
            <w:pPr>
              <w:spacing w:before="240" w:after="120"/>
              <w:rPr>
                <w:rFonts w:ascii="Arial" w:eastAsia="SimSun" w:hAnsi="Arial" w:cs="Arial"/>
                <w:b/>
                <w:bCs/>
                <w:color w:val="000000"/>
                <w:u w:val="single"/>
                <w:lang w:val="en-US" w:eastAsia="zh-CN"/>
              </w:rPr>
            </w:pPr>
            <w:r w:rsidRPr="001F5B26">
              <w:rPr>
                <w:rFonts w:ascii="Arial" w:eastAsia="SimSun" w:hAnsi="Arial" w:cs="Arial"/>
                <w:b/>
                <w:bCs/>
                <w:color w:val="000000"/>
                <w:u w:val="single"/>
                <w:lang w:val="en-US" w:eastAsia="zh-CN"/>
              </w:rPr>
              <w:t>Discussion on PUR L1 ACK for an application layer response message (for NB-IoT and eMTC)</w:t>
            </w:r>
          </w:p>
          <w:p w14:paraId="022BE071" w14:textId="77777777" w:rsidR="003B7C48" w:rsidRPr="001F5B26" w:rsidRDefault="003B7C48" w:rsidP="003B7C48">
            <w:pPr>
              <w:spacing w:after="120"/>
              <w:rPr>
                <w:rFonts w:ascii="Arial" w:eastAsia="SimSun" w:hAnsi="Arial" w:cs="Arial"/>
                <w:lang w:val="en-US" w:eastAsia="zh-CN"/>
              </w:rPr>
            </w:pPr>
            <w:r w:rsidRPr="001F5B26">
              <w:rPr>
                <w:rFonts w:ascii="Arial" w:eastAsia="SimSun" w:hAnsi="Arial" w:cs="Arial"/>
                <w:lang w:val="en-US" w:eastAsia="zh-CN"/>
              </w:rPr>
              <w:t>In RAN1#98bis meeting, RAN1 discussed the following indication to be carried by the L1 ACK DCI:</w:t>
            </w:r>
          </w:p>
          <w:p w14:paraId="684E0AEB" w14:textId="77777777" w:rsidR="003B7C48" w:rsidRPr="001F5B26" w:rsidRDefault="003B7C48" w:rsidP="003B7C48">
            <w:pPr>
              <w:spacing w:after="120"/>
              <w:rPr>
                <w:rFonts w:ascii="Arial" w:eastAsia="SimSun" w:hAnsi="Arial" w:cs="Arial"/>
                <w:i/>
                <w:iCs/>
              </w:rPr>
            </w:pPr>
            <w:r w:rsidRPr="001F5B26">
              <w:rPr>
                <w:rFonts w:ascii="Arial" w:eastAsia="SimSun" w:hAnsi="Arial" w:cs="Arial"/>
                <w:i/>
                <w:iCs/>
                <w:lang w:eastAsia="zh-CN"/>
              </w:rPr>
              <w:t>The PUR transmission</w:t>
            </w:r>
            <w:r w:rsidRPr="001F5B26">
              <w:rPr>
                <w:rFonts w:ascii="Arial" w:eastAsia="SimSun" w:hAnsi="Arial" w:cs="Arial"/>
                <w:i/>
                <w:iCs/>
              </w:rPr>
              <w:t xml:space="preserve"> is successful and UE may continue monitoring the PUR SS after a non-zero gap. The non-zero-gap is part of the PUR configuration. The value of the non-zero gap will be decided by RAN2.</w:t>
            </w:r>
          </w:p>
          <w:p w14:paraId="1505B83C" w14:textId="77777777" w:rsidR="003B7C48" w:rsidRPr="001F5B26" w:rsidRDefault="003B7C48" w:rsidP="003B7C48">
            <w:pPr>
              <w:spacing w:after="120"/>
              <w:rPr>
                <w:rFonts w:ascii="Arial" w:eastAsia="SimSun" w:hAnsi="Arial" w:cs="Arial"/>
                <w:i/>
                <w:iCs/>
              </w:rPr>
            </w:pPr>
          </w:p>
          <w:p w14:paraId="17799EA1" w14:textId="77777777" w:rsidR="003B7C48" w:rsidRPr="001F5B26" w:rsidRDefault="003B7C48" w:rsidP="003B7C48">
            <w:pPr>
              <w:spacing w:after="120"/>
              <w:rPr>
                <w:rFonts w:ascii="Arial" w:eastAsia="SimSun" w:hAnsi="Arial" w:cs="Arial"/>
                <w:color w:val="000000"/>
              </w:rPr>
            </w:pPr>
            <w:r w:rsidRPr="001F5B26">
              <w:rPr>
                <w:rFonts w:ascii="Arial" w:eastAsia="SimSun" w:hAnsi="Arial" w:cs="Arial"/>
                <w:color w:val="000000"/>
              </w:rPr>
              <w:t>RAN1 has the following questions:</w:t>
            </w:r>
          </w:p>
          <w:p w14:paraId="2FC74F3F" w14:textId="77777777" w:rsidR="003B7C48" w:rsidRPr="001F5B26" w:rsidRDefault="003B7C48" w:rsidP="003B7C48">
            <w:pPr>
              <w:numPr>
                <w:ilvl w:val="0"/>
                <w:numId w:val="13"/>
              </w:numPr>
              <w:autoSpaceDN w:val="0"/>
              <w:contextualSpacing/>
              <w:rPr>
                <w:rFonts w:ascii="Arial" w:eastAsia="SimSun" w:hAnsi="Arial" w:cs="Arial"/>
                <w:color w:val="000000"/>
                <w:lang w:eastAsia="ja-JP"/>
              </w:rPr>
            </w:pPr>
            <w:r w:rsidRPr="001F5B26">
              <w:rPr>
                <w:rFonts w:ascii="Arial" w:eastAsia="Yu Mincho" w:hAnsi="Arial" w:cs="Arial" w:hint="eastAsia"/>
                <w:color w:val="000000"/>
                <w:lang w:eastAsia="ja-JP"/>
              </w:rPr>
              <w:t>W</w:t>
            </w:r>
            <w:r w:rsidRPr="001F5B26">
              <w:rPr>
                <w:rFonts w:ascii="Arial" w:eastAsia="Yu Mincho" w:hAnsi="Arial" w:cs="Arial"/>
                <w:color w:val="000000"/>
                <w:lang w:eastAsia="ja-JP"/>
              </w:rPr>
              <w:t>hat is the range of the non-zero gap considering the followings questions</w:t>
            </w:r>
          </w:p>
          <w:p w14:paraId="0C37E5AD" w14:textId="77777777" w:rsidR="003B7C48" w:rsidRPr="001F5B26" w:rsidRDefault="003B7C48" w:rsidP="003B7C48">
            <w:pPr>
              <w:numPr>
                <w:ilvl w:val="1"/>
                <w:numId w:val="13"/>
              </w:numPr>
              <w:autoSpaceDN w:val="0"/>
              <w:contextualSpacing/>
              <w:rPr>
                <w:rFonts w:ascii="Arial" w:eastAsia="SimSun" w:hAnsi="Arial" w:cs="Arial"/>
                <w:color w:val="000000"/>
                <w:lang w:eastAsia="ja-JP"/>
              </w:rPr>
            </w:pPr>
            <w:r w:rsidRPr="001F5B26">
              <w:rPr>
                <w:rFonts w:ascii="Arial" w:eastAsia="SimSun" w:hAnsi="Arial" w:cs="Arial"/>
                <w:color w:val="000000"/>
                <w:lang w:eastAsia="en-GB"/>
              </w:rPr>
              <w:t>What is the proportion (how often) of PUR transmissions that have an application layer response after a PUR transmission.</w:t>
            </w:r>
          </w:p>
          <w:p w14:paraId="5772E3C1" w14:textId="77777777" w:rsidR="003B7C48" w:rsidRPr="001F5B26" w:rsidRDefault="003B7C48" w:rsidP="003B7C48">
            <w:pPr>
              <w:numPr>
                <w:ilvl w:val="1"/>
                <w:numId w:val="13"/>
              </w:numPr>
              <w:autoSpaceDN w:val="0"/>
              <w:contextualSpacing/>
              <w:rPr>
                <w:rFonts w:ascii="Arial" w:eastAsia="SimSun" w:hAnsi="Arial" w:cs="Arial"/>
                <w:color w:val="000000"/>
                <w:lang w:eastAsia="ja-JP"/>
              </w:rPr>
            </w:pPr>
            <w:r w:rsidRPr="001F5B26">
              <w:rPr>
                <w:rFonts w:ascii="Arial" w:eastAsia="SimSun" w:hAnsi="Arial" w:cs="Arial"/>
                <w:color w:val="000000"/>
                <w:lang w:eastAsia="en-GB"/>
              </w:rPr>
              <w:t>What is the time duration between a PUR transmission and the corresponding application layer response.</w:t>
            </w:r>
          </w:p>
          <w:p w14:paraId="6D984F02" w14:textId="77777777" w:rsidR="003B7C48" w:rsidRPr="001F5B26" w:rsidRDefault="003B7C48" w:rsidP="003B7C48">
            <w:pPr>
              <w:spacing w:after="120"/>
              <w:rPr>
                <w:rFonts w:ascii="Arial" w:eastAsia="SimSun" w:hAnsi="Arial" w:cs="Arial"/>
                <w:b/>
                <w:bCs/>
              </w:rPr>
            </w:pPr>
          </w:p>
          <w:p w14:paraId="071BEF26" w14:textId="77777777" w:rsidR="003B7C48" w:rsidRPr="001F5B26" w:rsidRDefault="003B7C48" w:rsidP="003B7C48">
            <w:pPr>
              <w:spacing w:after="120"/>
              <w:rPr>
                <w:rFonts w:ascii="Arial" w:eastAsia="SimSun" w:hAnsi="Arial" w:cs="Arial"/>
                <w:b/>
              </w:rPr>
            </w:pPr>
            <w:r w:rsidRPr="001F5B26">
              <w:rPr>
                <w:rFonts w:ascii="Arial" w:eastAsia="SimSun" w:hAnsi="Arial" w:cs="Arial"/>
                <w:b/>
              </w:rPr>
              <w:t>2. Actions:</w:t>
            </w:r>
          </w:p>
          <w:p w14:paraId="55B23C2D" w14:textId="77777777" w:rsidR="003B7C48" w:rsidRPr="001F5B26" w:rsidRDefault="003B7C48" w:rsidP="003B7C48">
            <w:pPr>
              <w:rPr>
                <w:rFonts w:ascii="Arial" w:eastAsia="SimSun" w:hAnsi="Arial" w:cs="Arial"/>
                <w:lang w:eastAsia="zh-CN"/>
              </w:rPr>
            </w:pPr>
            <w:r w:rsidRPr="001F5B26">
              <w:rPr>
                <w:rFonts w:ascii="Arial" w:eastAsia="SimSun" w:hAnsi="Arial" w:cs="Arial"/>
                <w:lang w:eastAsia="zh-CN"/>
              </w:rPr>
              <w:t xml:space="preserve">RAN1 kindly asks RAN2 </w:t>
            </w:r>
          </w:p>
          <w:p w14:paraId="31BB6D1B" w14:textId="77777777" w:rsidR="003B7C48" w:rsidRPr="001F5B26" w:rsidRDefault="003B7C48" w:rsidP="003B7C48">
            <w:pPr>
              <w:numPr>
                <w:ilvl w:val="0"/>
                <w:numId w:val="12"/>
              </w:numPr>
              <w:rPr>
                <w:rFonts w:ascii="Arial" w:eastAsia="SimSun" w:hAnsi="Arial" w:cs="Arial"/>
                <w:lang w:eastAsia="zh-CN"/>
              </w:rPr>
            </w:pPr>
            <w:r w:rsidRPr="001F5B26">
              <w:rPr>
                <w:rFonts w:ascii="Arial" w:eastAsia="SimSun" w:hAnsi="Arial" w:cs="Arial"/>
                <w:lang w:eastAsia="zh-CN"/>
              </w:rPr>
              <w:t>To take into account the RAN1 agreements and confirm the feasibility; and</w:t>
            </w:r>
          </w:p>
          <w:p w14:paraId="7E5567B7" w14:textId="77777777" w:rsidR="003B7C48" w:rsidRPr="00064E89" w:rsidRDefault="003B7C48" w:rsidP="003B7C48">
            <w:pPr>
              <w:numPr>
                <w:ilvl w:val="0"/>
                <w:numId w:val="12"/>
              </w:numPr>
              <w:spacing w:after="240" w:line="259" w:lineRule="auto"/>
              <w:ind w:left="714" w:hanging="357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1F5B26">
              <w:rPr>
                <w:rFonts w:ascii="Arial" w:eastAsia="SimSun" w:hAnsi="Arial" w:cs="Arial"/>
                <w:color w:val="000000"/>
                <w:lang w:eastAsia="zh-CN"/>
              </w:rPr>
              <w:t>To address the questions and feasibility and benefit of the above PUR L1 ACK indication.</w:t>
            </w:r>
          </w:p>
          <w:p w14:paraId="09D1376F" w14:textId="04C64956" w:rsidR="003B7C48" w:rsidRDefault="003B7C48" w:rsidP="00A515B5">
            <w:pPr>
              <w:spacing w:after="120"/>
              <w:rPr>
                <w:rFonts w:ascii="Arial" w:hAnsi="Arial" w:cs="Arial"/>
              </w:rPr>
            </w:pPr>
          </w:p>
        </w:tc>
      </w:tr>
    </w:tbl>
    <w:p w14:paraId="3DC40E7F" w14:textId="045455B5" w:rsidR="000871D0" w:rsidRDefault="000871D0" w:rsidP="00A515B5">
      <w:pPr>
        <w:spacing w:after="120"/>
        <w:rPr>
          <w:rFonts w:ascii="Arial" w:hAnsi="Arial" w:cs="Arial"/>
          <w:lang w:val="en-US"/>
        </w:rPr>
      </w:pPr>
      <w:bookmarkStart w:id="0" w:name="_Hlk7439695"/>
    </w:p>
    <w:p w14:paraId="6DE84472" w14:textId="37DE2350" w:rsidR="00FD4D30" w:rsidRDefault="00904342" w:rsidP="00287037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[RAN2 reply]:</w:t>
      </w:r>
      <w:bookmarkEnd w:id="0"/>
    </w:p>
    <w:p w14:paraId="1B299331" w14:textId="135B954F" w:rsidR="00904342" w:rsidRDefault="00FD4D30" w:rsidP="00287037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a: PUR could be applied to any service or application which fulfill the periodic requirements for PUR. </w:t>
      </w:r>
      <w:r w:rsidR="00B40F97" w:rsidRPr="00B40F97">
        <w:rPr>
          <w:rFonts w:ascii="Arial" w:hAnsi="Arial" w:cs="Arial"/>
          <w:lang w:val="en-US"/>
        </w:rPr>
        <w:t>However, there is no typical “</w:t>
      </w:r>
      <w:r w:rsidR="00B40F97" w:rsidRPr="00B40F97">
        <w:rPr>
          <w:rFonts w:ascii="Arial" w:hAnsi="Arial" w:cs="Arial"/>
          <w:i/>
          <w:lang w:val="en-US"/>
        </w:rPr>
        <w:t>application layer response</w:t>
      </w:r>
      <w:r w:rsidR="00B40F97" w:rsidRPr="00B40F97">
        <w:rPr>
          <w:rFonts w:ascii="Arial" w:hAnsi="Arial" w:cs="Arial"/>
          <w:lang w:val="en-US"/>
        </w:rPr>
        <w:t xml:space="preserve">” use-case that can be clearly </w:t>
      </w:r>
      <w:r w:rsidR="00E871AE">
        <w:rPr>
          <w:rFonts w:ascii="Arial" w:hAnsi="Arial" w:cs="Arial"/>
          <w:lang w:val="en-US"/>
        </w:rPr>
        <w:t>identified for</w:t>
      </w:r>
      <w:r w:rsidR="00B40F97" w:rsidRPr="00B40F97">
        <w:rPr>
          <w:rFonts w:ascii="Arial" w:hAnsi="Arial" w:cs="Arial"/>
          <w:lang w:val="en-US"/>
        </w:rPr>
        <w:t xml:space="preserve"> PUR, therefore setting a “</w:t>
      </w:r>
      <w:r w:rsidR="00B40F97" w:rsidRPr="00B40F97">
        <w:rPr>
          <w:rFonts w:ascii="Arial" w:hAnsi="Arial" w:cs="Arial"/>
          <w:i/>
          <w:lang w:val="en-US"/>
        </w:rPr>
        <w:t>non-zero</w:t>
      </w:r>
      <w:r w:rsidR="00B40F97" w:rsidRPr="00B40F97">
        <w:rPr>
          <w:rFonts w:ascii="Arial" w:hAnsi="Arial" w:cs="Arial"/>
          <w:lang w:val="en-US"/>
        </w:rPr>
        <w:t>” gap that can be used in a generic manner is not possible.</w:t>
      </w:r>
    </w:p>
    <w:p w14:paraId="456BE5FE" w14:textId="4A68DABC" w:rsidR="00FD4D30" w:rsidRDefault="00FD4D30" w:rsidP="00287037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b: </w:t>
      </w:r>
      <w:r w:rsidR="00F465B4">
        <w:rPr>
          <w:rFonts w:ascii="Arial" w:hAnsi="Arial" w:cs="Arial"/>
          <w:lang w:val="en-US"/>
        </w:rPr>
        <w:t xml:space="preserve">The delay for the application response, if there is one, could be in wide range and it is not possible at this point to optimize for a certain value. </w:t>
      </w:r>
    </w:p>
    <w:p w14:paraId="0EAAABA2" w14:textId="44870CBD" w:rsidR="00F465B4" w:rsidRDefault="00F465B4" w:rsidP="00F465B4">
      <w:pPr>
        <w:spacing w:after="60"/>
        <w:rPr>
          <w:rFonts w:ascii="Arial" w:hAnsi="Arial" w:cs="Arial"/>
          <w:lang w:val="en-US"/>
        </w:rPr>
      </w:pPr>
    </w:p>
    <w:p w14:paraId="7C6D1AF2" w14:textId="3DFE9C78" w:rsidR="005E4DC3" w:rsidRDefault="008C019D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Due to the above</w:t>
      </w:r>
      <w:r w:rsidR="005E4DC3">
        <w:rPr>
          <w:rFonts w:ascii="Arial" w:hAnsi="Arial" w:cs="Arial"/>
          <w:lang w:val="en-US"/>
        </w:rPr>
        <w:t xml:space="preserve">, and </w:t>
      </w:r>
      <w:r w:rsidR="008818C6">
        <w:rPr>
          <w:rFonts w:ascii="Arial" w:hAnsi="Arial" w:cs="Arial"/>
          <w:lang w:val="en-US"/>
        </w:rPr>
        <w:t>considering</w:t>
      </w:r>
      <w:r w:rsidR="005E4DC3">
        <w:rPr>
          <w:rFonts w:ascii="Arial" w:hAnsi="Arial" w:cs="Arial"/>
          <w:lang w:val="en-US"/>
        </w:rPr>
        <w:t xml:space="preserve"> the following agreement from RAN2#107:</w:t>
      </w:r>
    </w:p>
    <w:p w14:paraId="00AFBE10" w14:textId="77777777" w:rsidR="005E4DC3" w:rsidRPr="005E4DC3" w:rsidRDefault="005E4DC3" w:rsidP="005E4DC3">
      <w:pPr>
        <w:pStyle w:val="Agreement"/>
        <w:spacing w:after="0" w:line="240" w:lineRule="auto"/>
        <w:ind w:left="1012"/>
        <w:rPr>
          <w:lang w:val="en-GB" w:eastAsia="en-US"/>
        </w:rPr>
      </w:pPr>
      <w:r w:rsidRPr="005E4DC3">
        <w:rPr>
          <w:lang w:val="en-GB" w:eastAsia="en-US"/>
        </w:rPr>
        <w:lastRenderedPageBreak/>
        <w:t xml:space="preserve">RAN2 confirm the intention of the previous agreement as follows: </w:t>
      </w:r>
    </w:p>
    <w:p w14:paraId="711B20EF" w14:textId="77777777" w:rsidR="005E4DC3" w:rsidRPr="005E4DC3" w:rsidRDefault="005E4DC3" w:rsidP="005E4DC3">
      <w:pPr>
        <w:pStyle w:val="Agreement"/>
        <w:numPr>
          <w:ilvl w:val="2"/>
          <w:numId w:val="11"/>
        </w:numPr>
        <w:spacing w:after="0" w:line="240" w:lineRule="auto"/>
        <w:ind w:left="1553"/>
        <w:rPr>
          <w:lang w:val="en-GB" w:eastAsia="en-US"/>
        </w:rPr>
      </w:pPr>
      <w:r w:rsidRPr="005E4DC3">
        <w:rPr>
          <w:lang w:val="en-GB" w:eastAsia="en-US"/>
        </w:rPr>
        <w:t xml:space="preserve">If RRC response message is not needed, </w:t>
      </w:r>
      <w:proofErr w:type="spellStart"/>
      <w:r w:rsidRPr="005E4DC3">
        <w:rPr>
          <w:lang w:val="en-GB" w:eastAsia="en-US"/>
        </w:rPr>
        <w:t>eNB</w:t>
      </w:r>
      <w:proofErr w:type="spellEnd"/>
      <w:r w:rsidRPr="005E4DC3">
        <w:rPr>
          <w:lang w:val="en-GB" w:eastAsia="en-US"/>
        </w:rPr>
        <w:t xml:space="preserve"> may send L1 ACK to acknowledge the PUR transmission in UL. The L1 ACK concludes the PUR procedure and UE moves to Idle. </w:t>
      </w:r>
    </w:p>
    <w:p w14:paraId="417043AE" w14:textId="77777777" w:rsidR="005E4DC3" w:rsidRDefault="005E4DC3" w:rsidP="00956792">
      <w:pPr>
        <w:spacing w:after="60"/>
        <w:rPr>
          <w:rFonts w:ascii="Arial" w:hAnsi="Arial" w:cs="Arial"/>
          <w:lang w:val="en-US"/>
        </w:rPr>
      </w:pPr>
    </w:p>
    <w:p w14:paraId="259743F0" w14:textId="5F2D9118" w:rsidR="00287037" w:rsidRDefault="008C019D" w:rsidP="00956792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does not find it feasible to </w:t>
      </w:r>
      <w:r w:rsidR="00D02CC3">
        <w:rPr>
          <w:rFonts w:ascii="Arial" w:hAnsi="Arial" w:cs="Arial"/>
          <w:lang w:val="en-US"/>
        </w:rPr>
        <w:t xml:space="preserve">use </w:t>
      </w:r>
      <w:r w:rsidR="009C1795">
        <w:rPr>
          <w:rFonts w:ascii="Arial" w:hAnsi="Arial" w:cs="Arial"/>
          <w:lang w:val="en-US"/>
        </w:rPr>
        <w:t xml:space="preserve">a </w:t>
      </w:r>
      <w:r w:rsidR="00D02CC3">
        <w:rPr>
          <w:rFonts w:ascii="Arial" w:hAnsi="Arial" w:cs="Arial"/>
          <w:lang w:val="en-US"/>
        </w:rPr>
        <w:t>“</w:t>
      </w:r>
      <w:r w:rsidR="00D02CC3" w:rsidRPr="006D5BEC">
        <w:rPr>
          <w:rFonts w:ascii="Arial" w:hAnsi="Arial" w:cs="Arial"/>
          <w:i/>
          <w:iCs/>
          <w:lang w:val="en-US"/>
        </w:rPr>
        <w:t>PUR L1 ACK for an application layer response message</w:t>
      </w:r>
      <w:r w:rsidR="009C1795">
        <w:rPr>
          <w:rFonts w:ascii="Arial" w:hAnsi="Arial" w:cs="Arial"/>
          <w:lang w:val="en-US"/>
        </w:rPr>
        <w:t>”</w:t>
      </w:r>
      <w:r>
        <w:rPr>
          <w:rFonts w:ascii="Arial" w:hAnsi="Arial" w:cs="Arial"/>
          <w:lang w:val="en-US"/>
        </w:rPr>
        <w:t xml:space="preserve">, and do not see the need for any other solution </w:t>
      </w:r>
      <w:r w:rsidR="00C247F2">
        <w:rPr>
          <w:rFonts w:ascii="Arial" w:hAnsi="Arial" w:cs="Arial"/>
          <w:lang w:val="en-US"/>
        </w:rPr>
        <w:t>to deal with a</w:t>
      </w:r>
      <w:r w:rsidR="05BB5199">
        <w:rPr>
          <w:rFonts w:ascii="Arial" w:hAnsi="Arial" w:cs="Arial"/>
          <w:lang w:val="en-US"/>
        </w:rPr>
        <w:t>n a</w:t>
      </w:r>
      <w:r w:rsidR="00C247F2">
        <w:rPr>
          <w:rFonts w:ascii="Arial" w:hAnsi="Arial" w:cs="Arial"/>
          <w:lang w:val="en-US"/>
        </w:rPr>
        <w:t xml:space="preserve">pplication layer response delay </w:t>
      </w:r>
      <w:r>
        <w:rPr>
          <w:rFonts w:ascii="Arial" w:hAnsi="Arial" w:cs="Arial"/>
          <w:lang w:val="en-US"/>
        </w:rPr>
        <w:t xml:space="preserve">than </w:t>
      </w:r>
      <w:r w:rsidR="00AB200A">
        <w:rPr>
          <w:rFonts w:ascii="Arial" w:hAnsi="Arial" w:cs="Arial"/>
          <w:lang w:val="en-US"/>
        </w:rPr>
        <w:t xml:space="preserve">what is used </w:t>
      </w:r>
      <w:r>
        <w:rPr>
          <w:rFonts w:ascii="Arial" w:hAnsi="Arial" w:cs="Arial"/>
          <w:lang w:val="en-US"/>
        </w:rPr>
        <w:t>for Rel-15 EDT.</w:t>
      </w:r>
      <w:r w:rsidR="0004179C">
        <w:rPr>
          <w:rFonts w:ascii="Arial" w:hAnsi="Arial" w:cs="Arial"/>
          <w:lang w:val="en-US"/>
        </w:rPr>
        <w:t xml:space="preserve"> </w:t>
      </w:r>
    </w:p>
    <w:p w14:paraId="19256338" w14:textId="77777777" w:rsidR="00956792" w:rsidRPr="000871D0" w:rsidRDefault="00956792" w:rsidP="00956792">
      <w:pPr>
        <w:spacing w:after="60"/>
        <w:rPr>
          <w:rFonts w:ascii="Arial" w:hAnsi="Arial" w:cs="Arial"/>
          <w:lang w:val="en-US"/>
        </w:rPr>
      </w:pPr>
    </w:p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010DE045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9E1D2C" w:rsidRPr="00E64351">
        <w:rPr>
          <w:rFonts w:ascii="Arial" w:hAnsi="Arial" w:cs="Arial"/>
        </w:rPr>
        <w:t>kindly 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 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758F2BFE" w14:textId="546AFE9F" w:rsidR="00B304A6" w:rsidRDefault="00B304A6" w:rsidP="00B304A6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 xml:space="preserve">, </w:t>
      </w:r>
      <w:bookmarkStart w:id="1" w:name="_GoBack"/>
      <w:bookmarkEnd w:id="1"/>
      <w:r w:rsidR="00F217A6">
        <w:rPr>
          <w:rFonts w:ascii="Arial" w:hAnsi="Arial" w:cs="Arial"/>
          <w:bCs/>
        </w:rPr>
        <w:t>Japan</w:t>
      </w:r>
    </w:p>
    <w:p w14:paraId="75A928CD" w14:textId="77777777" w:rsidR="00B304A6" w:rsidRPr="00A16EC6" w:rsidRDefault="00B304A6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p w14:paraId="20D31A62" w14:textId="77777777" w:rsidR="00DF1D8C" w:rsidRPr="00A16EC6" w:rsidRDefault="00DF1D8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92176" w14:textId="77777777" w:rsidR="00F15A0F" w:rsidRDefault="00F15A0F">
      <w:r>
        <w:separator/>
      </w:r>
    </w:p>
  </w:endnote>
  <w:endnote w:type="continuationSeparator" w:id="0">
    <w:p w14:paraId="2EA2CC50" w14:textId="77777777" w:rsidR="00F15A0F" w:rsidRDefault="00F15A0F">
      <w:r>
        <w:continuationSeparator/>
      </w:r>
    </w:p>
  </w:endnote>
  <w:endnote w:type="continuationNotice" w:id="1">
    <w:p w14:paraId="1268A49C" w14:textId="77777777" w:rsidR="00B70B1E" w:rsidRDefault="00B70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958C7" w14:textId="77777777" w:rsidR="00F15A0F" w:rsidRDefault="00F15A0F">
      <w:r>
        <w:separator/>
      </w:r>
    </w:p>
  </w:footnote>
  <w:footnote w:type="continuationSeparator" w:id="0">
    <w:p w14:paraId="6B96A776" w14:textId="77777777" w:rsidR="00F15A0F" w:rsidRDefault="00F15A0F">
      <w:r>
        <w:continuationSeparator/>
      </w:r>
    </w:p>
  </w:footnote>
  <w:footnote w:type="continuationNotice" w:id="1">
    <w:p w14:paraId="78EB395D" w14:textId="77777777" w:rsidR="00B70B1E" w:rsidRDefault="00B70B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541"/>
    <w:rsid w:val="00014014"/>
    <w:rsid w:val="0001631F"/>
    <w:rsid w:val="0003239B"/>
    <w:rsid w:val="0004179C"/>
    <w:rsid w:val="000438D0"/>
    <w:rsid w:val="00063D16"/>
    <w:rsid w:val="00065EE0"/>
    <w:rsid w:val="00075B3E"/>
    <w:rsid w:val="00086468"/>
    <w:rsid w:val="000871D0"/>
    <w:rsid w:val="0009052F"/>
    <w:rsid w:val="000A03DE"/>
    <w:rsid w:val="000C5D77"/>
    <w:rsid w:val="000D3E18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6374"/>
    <w:rsid w:val="00250A3B"/>
    <w:rsid w:val="00257A28"/>
    <w:rsid w:val="002664DB"/>
    <w:rsid w:val="00287037"/>
    <w:rsid w:val="0029452D"/>
    <w:rsid w:val="002A1CB5"/>
    <w:rsid w:val="002B09E0"/>
    <w:rsid w:val="002B54E6"/>
    <w:rsid w:val="002C47B4"/>
    <w:rsid w:val="002C6AB3"/>
    <w:rsid w:val="002D7866"/>
    <w:rsid w:val="002E1F5F"/>
    <w:rsid w:val="002F7DCF"/>
    <w:rsid w:val="00301264"/>
    <w:rsid w:val="00301891"/>
    <w:rsid w:val="0030196C"/>
    <w:rsid w:val="00303804"/>
    <w:rsid w:val="003201B1"/>
    <w:rsid w:val="00335CC5"/>
    <w:rsid w:val="00345293"/>
    <w:rsid w:val="003546A3"/>
    <w:rsid w:val="00356357"/>
    <w:rsid w:val="0035772E"/>
    <w:rsid w:val="0036317D"/>
    <w:rsid w:val="003652B1"/>
    <w:rsid w:val="00381C28"/>
    <w:rsid w:val="00383602"/>
    <w:rsid w:val="003A52E1"/>
    <w:rsid w:val="003B7C48"/>
    <w:rsid w:val="003C1615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416B"/>
    <w:rsid w:val="004473F1"/>
    <w:rsid w:val="00453AB5"/>
    <w:rsid w:val="00453F12"/>
    <w:rsid w:val="00463675"/>
    <w:rsid w:val="004643B6"/>
    <w:rsid w:val="00473CBA"/>
    <w:rsid w:val="004771A2"/>
    <w:rsid w:val="00480A90"/>
    <w:rsid w:val="004958C4"/>
    <w:rsid w:val="004C2955"/>
    <w:rsid w:val="004C721A"/>
    <w:rsid w:val="004D4CC7"/>
    <w:rsid w:val="005108BA"/>
    <w:rsid w:val="005229D5"/>
    <w:rsid w:val="00523370"/>
    <w:rsid w:val="005247B8"/>
    <w:rsid w:val="00530468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3278"/>
    <w:rsid w:val="005D5CC9"/>
    <w:rsid w:val="005E4DC3"/>
    <w:rsid w:val="005E5B10"/>
    <w:rsid w:val="005F5AE1"/>
    <w:rsid w:val="0060309D"/>
    <w:rsid w:val="00603699"/>
    <w:rsid w:val="006114DC"/>
    <w:rsid w:val="00624EB7"/>
    <w:rsid w:val="00636036"/>
    <w:rsid w:val="00655D93"/>
    <w:rsid w:val="0066251F"/>
    <w:rsid w:val="00676F56"/>
    <w:rsid w:val="006969F5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47404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6224"/>
    <w:rsid w:val="007E737B"/>
    <w:rsid w:val="007F66AE"/>
    <w:rsid w:val="00804CFB"/>
    <w:rsid w:val="00807C24"/>
    <w:rsid w:val="008113CF"/>
    <w:rsid w:val="00836A69"/>
    <w:rsid w:val="008420FF"/>
    <w:rsid w:val="00847973"/>
    <w:rsid w:val="00850D01"/>
    <w:rsid w:val="00855FF2"/>
    <w:rsid w:val="0085611B"/>
    <w:rsid w:val="00862507"/>
    <w:rsid w:val="00872F06"/>
    <w:rsid w:val="00874CF3"/>
    <w:rsid w:val="008818C6"/>
    <w:rsid w:val="00891A66"/>
    <w:rsid w:val="0089550C"/>
    <w:rsid w:val="008A2767"/>
    <w:rsid w:val="008B2A65"/>
    <w:rsid w:val="008B3442"/>
    <w:rsid w:val="008B35CC"/>
    <w:rsid w:val="008C019D"/>
    <w:rsid w:val="008C74FE"/>
    <w:rsid w:val="008F29AE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770C"/>
    <w:rsid w:val="00987A62"/>
    <w:rsid w:val="00992FE3"/>
    <w:rsid w:val="009B2C81"/>
    <w:rsid w:val="009B4618"/>
    <w:rsid w:val="009C179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4F4E"/>
    <w:rsid w:val="00AE0CF2"/>
    <w:rsid w:val="00AE4717"/>
    <w:rsid w:val="00AF3224"/>
    <w:rsid w:val="00B123C5"/>
    <w:rsid w:val="00B23E2D"/>
    <w:rsid w:val="00B27C98"/>
    <w:rsid w:val="00B304A6"/>
    <w:rsid w:val="00B40F97"/>
    <w:rsid w:val="00B446B5"/>
    <w:rsid w:val="00B55418"/>
    <w:rsid w:val="00B573AD"/>
    <w:rsid w:val="00B659CC"/>
    <w:rsid w:val="00B7055D"/>
    <w:rsid w:val="00B70B1E"/>
    <w:rsid w:val="00B70BB4"/>
    <w:rsid w:val="00B7549D"/>
    <w:rsid w:val="00B80A5B"/>
    <w:rsid w:val="00B81A63"/>
    <w:rsid w:val="00BB34AD"/>
    <w:rsid w:val="00BC2195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A1C60"/>
    <w:rsid w:val="00CB0E4E"/>
    <w:rsid w:val="00CB65C6"/>
    <w:rsid w:val="00CC319C"/>
    <w:rsid w:val="00CC3DD2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3499E"/>
    <w:rsid w:val="00D4450C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5AD6"/>
    <w:rsid w:val="00E364E1"/>
    <w:rsid w:val="00E406C0"/>
    <w:rsid w:val="00E41FB6"/>
    <w:rsid w:val="00E45060"/>
    <w:rsid w:val="00E50D96"/>
    <w:rsid w:val="00E54463"/>
    <w:rsid w:val="00E64351"/>
    <w:rsid w:val="00E677DF"/>
    <w:rsid w:val="00E871AE"/>
    <w:rsid w:val="00E95A41"/>
    <w:rsid w:val="00EA30C3"/>
    <w:rsid w:val="00EA3A53"/>
    <w:rsid w:val="00EA635E"/>
    <w:rsid w:val="00EB144E"/>
    <w:rsid w:val="00EB3174"/>
    <w:rsid w:val="00EC2979"/>
    <w:rsid w:val="00ED4AB1"/>
    <w:rsid w:val="00ED7DD5"/>
    <w:rsid w:val="00EE600D"/>
    <w:rsid w:val="00F03897"/>
    <w:rsid w:val="00F13322"/>
    <w:rsid w:val="00F15A0F"/>
    <w:rsid w:val="00F217A6"/>
    <w:rsid w:val="00F27AA3"/>
    <w:rsid w:val="00F37725"/>
    <w:rsid w:val="00F41487"/>
    <w:rsid w:val="00F45CDB"/>
    <w:rsid w:val="00F465B4"/>
    <w:rsid w:val="00F670B7"/>
    <w:rsid w:val="00F74523"/>
    <w:rsid w:val="00F819CC"/>
    <w:rsid w:val="00F92D64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2f282d3b-eb4a-4b09-b61f-b9593442e286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5974B-37DA-4F39-9945-5A896F1EF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389F9C-E37C-4B0A-859E-3D14A2D3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28</TotalTime>
  <Pages>2</Pages>
  <Words>463</Words>
  <Characters>2391</Characters>
  <Application>Microsoft Office Word</Application>
  <DocSecurity>0</DocSecurity>
  <Lines>82</Lines>
  <Paragraphs>75</Paragraphs>
  <ScaleCrop>false</ScaleCrop>
  <Company>ETSI Sophia Antipolis</Company>
  <LinksUpToDate>false</LinksUpToDate>
  <CharactersWithSpaces>2779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230</cp:revision>
  <cp:lastPrinted>2002-04-23T16:10:00Z</cp:lastPrinted>
  <dcterms:created xsi:type="dcterms:W3CDTF">2019-02-08T17:29:00Z</dcterms:created>
  <dcterms:modified xsi:type="dcterms:W3CDTF">2019-11-07T23:38:00Z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